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2769" w14:textId="71A276F8" w:rsidR="00DA1832" w:rsidRPr="006C1DDA" w:rsidRDefault="006C1DDA" w:rsidP="006C1DDA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bookmarkStart w:id="0" w:name="_Hlk207113752"/>
      <w:r w:rsidRPr="006C1D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 1 сентября 2025 года вступают в силу </w:t>
      </w:r>
      <w:r w:rsidRPr="00EF448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новые требования</w:t>
      </w:r>
      <w:r w:rsidRPr="006C1DD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в области охраны труда</w:t>
      </w:r>
      <w:bookmarkEnd w:id="0"/>
    </w:p>
    <w:p w14:paraId="4F903843" w14:textId="77777777" w:rsidR="006C1DDA" w:rsidRPr="006C1DDA" w:rsidRDefault="006C1DDA" w:rsidP="006C1DDA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36B57809" w14:textId="3E70FBBE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Управление экономики Администрации Северодвинска информирует о том, что с 1 сентября 2025 года вступают в силу важные изменения</w:t>
      </w:r>
      <w:r w:rsidR="004C464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законодательства в области охраны труда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которые существенно повлияют на работу специалистов по</w:t>
      </w:r>
      <w:r w:rsidR="004C464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охране труда и деятельность организаций в</w:t>
      </w:r>
      <w:r w:rsidR="00652F2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целом.</w:t>
      </w:r>
    </w:p>
    <w:p w14:paraId="6ACAB59A" w14:textId="1452598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Постановлением Правительства Российской Федерации от 23.05.2025 №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717 «О внесении изменений в некоторые акты Правительства Российской Федерации» </w:t>
      </w:r>
      <w:r w:rsidR="007C4AB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внесены изменения в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правила отнесения видов экономической деятельности к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классу профессионального риска. Изменения связаны с поправками, принятыми Федеральным законом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Российской Федерации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 28.12.2024 № 529-ФЗ «О внесении изменений в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Федеральный закон «Об обязательном социальном страховании от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несчастных случаев на производстве и профессиональных заболеваний», 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отношении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правил подтверждения видов деятельности для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страхования по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травматизму. С 1 сентября данные о видах деятельности компаний будут поступать из ЕГРЮЛ и ЕГРИП. Подобные изменения предусмотре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ны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и в 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отношении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правил отнесения видов экономической деятельности к классу профессионального риска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который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также 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теперь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будут определять на основе данных о кодах ОКВЭД из ЕГРЮЛ и</w:t>
      </w:r>
      <w:r w:rsidR="00BB63E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ЕГРИП.</w:t>
      </w:r>
    </w:p>
    <w:p w14:paraId="7DA5C7F5" w14:textId="207A47C1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2. Приказом Минтруда России от 29.04.2025 № 287н «О внесении изменений в некоторые приказы </w:t>
      </w:r>
      <w:bookmarkStart w:id="1" w:name="_Hlk207200849"/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Министерства труда и социальной защиты Российской Федерации</w:t>
      </w:r>
      <w:bookmarkEnd w:id="1"/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по вопросам охраны труда» продлен срок действия 40</w:t>
      </w:r>
      <w:r w:rsidR="00951CB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-ка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правил по</w:t>
      </w:r>
      <w:r w:rsidR="00951CB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охране труда. Важно отметить, что правила продлены на разные сроки: до 2027, 2031 и</w:t>
      </w:r>
      <w:r w:rsidR="007B20E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2032</w:t>
      </w:r>
      <w:r w:rsidR="007B20E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года. Таким образом, продление срока действия правил не потребует внесения изменений в программы обучения и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инструкции по охране труда.</w:t>
      </w:r>
    </w:p>
    <w:p w14:paraId="5BF4FB50" w14:textId="364379A5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3. Вступают в силу новые требования к проведению специальной оценки условий труда (далее – СОУТ) в отдельных областях. Так,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апреле 2025 года Министерство труда и социальной защиты Российской Федерации утвердило ряд приказов, уточняющих особенности проведения СОУТ для различных категорий работников. </w:t>
      </w:r>
    </w:p>
    <w:p w14:paraId="79143B6A" w14:textId="15A1F6BF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3.1.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hyperlink r:id="rId7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Минтруда России от 10.04.2025 № 197н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утверждены новые особенности проведения СОУТ на рабочих местах отдельных категорий медицинских работников, в том числе оказывающих скорую медицинскую помощь, осуществляющих диагностику и лечение с использованием медицинской аппаратуры, а также оказывающих медицинскую помощь лицам с психическими расстройствами. Со вступлением в силу новых особенностей проведения СОУТ </w:t>
      </w:r>
      <w:hyperlink r:id="rId8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24.04.2015 № 250н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утрачивает силу.</w:t>
      </w:r>
    </w:p>
    <w:p w14:paraId="41DD594C" w14:textId="44D3EEDF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3.2.</w:t>
      </w:r>
      <w:r w:rsidRPr="006C1DDA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hyperlink r:id="rId9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Минтруда России от 09.04.2025 № 192н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утверждены новые особенности проведения СОУТ на рабочих местах, на которых предусматривается пребывание работников в условиях повышенного давления газовой и воздушной среды. Новые особенности проведения СОУТ затронут рабочие места, на которых выполняются работы в барокамерах, включая рабочие места медицинских работников, </w:t>
      </w:r>
      <w:r w:rsidRPr="00951CB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существляющих медицинское обеспечение водолазных работ. Со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вступлением в силу новых особенностей проведения СОУТ </w:t>
      </w:r>
      <w:hyperlink r:id="rId10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19.02.2015 № 102н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утрачивает силу.</w:t>
      </w:r>
    </w:p>
    <w:p w14:paraId="154BEE03" w14:textId="242D1D6D" w:rsidR="006C1DDA" w:rsidRPr="006C1DDA" w:rsidRDefault="006C1DDA" w:rsidP="0052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3.3. Минтруд </w:t>
      </w:r>
      <w:r w:rsidR="00652F2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России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утвердил обновленные особенности проведения </w:t>
      </w:r>
      <w:r w:rsidR="00652F2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СОУТ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 ряда рабочих мест, а именно:</w:t>
      </w:r>
    </w:p>
    <w:p w14:paraId="1CF6A230" w14:textId="202DAD64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hyperlink r:id="rId11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приказ Минтруда России от 08.04.2025 № 186н «Об утверждении особенностей проведения специальной оценки условий труда на рабочих местах 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lastRenderedPageBreak/>
          <w:t>работников, трудовая функция которых состоит в подготовке к спортивным соревнованиям и в участии в спортивных соревнованиях по определенному виду или</w:t>
        </w:r>
        <w:r w:rsidR="00652F21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 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видам спорта»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;</w:t>
      </w:r>
    </w:p>
    <w:p w14:paraId="3CB8CEA6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hyperlink r:id="rId12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08.04.2025 № 187н «Об утверждении особенностей проведения специальной оценки условий труда на рабочих местах работников радиационно опасных и ядерно опасных производств и объектов, занятых на работах с техногенными источниками ионизирующих излучений»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;</w:t>
      </w:r>
    </w:p>
    <w:p w14:paraId="18DC8D86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hyperlink r:id="rId13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09.04.2025 № 191н «Об утверждении особенностей проведения специальной оценки условий труда на рабочих местах водолазов, а также работников, непосредственно осуществляющих кессонные работы»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.</w:t>
      </w:r>
    </w:p>
    <w:p w14:paraId="602E11A3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 вступлением в силу новых особенностей проведения СОУТ утрачивают силу следующие приказы:</w:t>
      </w:r>
    </w:p>
    <w:p w14:paraId="626790C0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hyperlink r:id="rId14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27.01.2015 № 46н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;</w:t>
      </w:r>
    </w:p>
    <w:p w14:paraId="3A28FD3A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hyperlink r:id="rId15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01.06.2015 № 335н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;</w:t>
      </w:r>
    </w:p>
    <w:p w14:paraId="51876DFD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hyperlink r:id="rId16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 России от 18.02.2015 № 96н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59DDE674" w14:textId="078C073C" w:rsidR="006C1DDA" w:rsidRPr="006C1DDA" w:rsidRDefault="006C1DDA" w:rsidP="0052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3.4. </w:t>
      </w:r>
      <w:hyperlink r:id="rId17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Минтруда России от 10.04.2025 № 198н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утверждены особенности проведения СОУТ на рабочих местах работников, занятых на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подземных работах. </w:t>
      </w:r>
      <w:r w:rsidR="00EB4AB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hyperlink r:id="rId18" w:anchor="A880NE" w:history="1">
        <w:r w:rsidR="00EB4AB6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таким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 работникам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относятся работники, непосредственно осуществляющие добычу полезных ископаемых подземным способом, а также занятые на работах по строительству и эксплуатации подземных сооружений, а</w:t>
      </w:r>
      <w:r w:rsidR="008018F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равно и на аварийно-спасательных работах в указанных сооружениях. Со</w:t>
      </w:r>
      <w:r w:rsidR="008018F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вступлением в силу обновленных особенностей проведения СОУТ </w:t>
      </w:r>
      <w:hyperlink r:id="rId19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приказ Минтруда </w:t>
        </w:r>
        <w:r w:rsidR="00524B6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России 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от 09.12.2014 № 996н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утрачивает силу.</w:t>
      </w:r>
    </w:p>
    <w:p w14:paraId="6D8A38C4" w14:textId="32D969E7" w:rsidR="006C1DDA" w:rsidRPr="006C1DDA" w:rsidRDefault="006C1DDA" w:rsidP="0052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3.5.</w:t>
      </w:r>
      <w:r w:rsidRPr="006C1DDA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hyperlink r:id="rId20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Минтруда России от 08.04.2025 № 189н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утверждены новые особенности проведения СОУТ на рабочих местах членов экипажей морских судов, судов внутреннего плавания и рыбопромысловых судов. Со</w:t>
      </w:r>
      <w:r w:rsidR="008018F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вступлением в силу новых особенностей проведения СОУТ </w:t>
      </w:r>
      <w:hyperlink r:id="rId21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приказ Минтруда </w:t>
        </w:r>
        <w:r w:rsidR="00524B6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России 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от 18.05.2015 №</w:t>
        </w:r>
        <w:r w:rsidR="00524B6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 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301н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утрачивает силу.</w:t>
      </w:r>
    </w:p>
    <w:p w14:paraId="18E05DE0" w14:textId="004C8362" w:rsidR="006C1DDA" w:rsidRPr="006C1DDA" w:rsidRDefault="006C1DDA" w:rsidP="00524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3.6.</w:t>
      </w:r>
      <w:r w:rsidR="00524B6A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</w:t>
      </w:r>
      <w:hyperlink r:id="rId22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Минтруда России от 08.04.2025 № 188н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утверждены особенности проведения СОУТ на рабочих местах работников культуры и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творчества. Перечень таких профессий и должностей утвержден </w:t>
      </w:r>
      <w:hyperlink r:id="rId23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распоряжением Правительства Российской Федерации от 04.07.2023 № 1777-р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Со вступлением в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силу обновленных особенностей проведения СОУТ </w:t>
      </w:r>
      <w:hyperlink r:id="rId24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Минтруда</w:t>
        </w:r>
        <w:r w:rsidR="00524B6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 России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 от</w:t>
        </w:r>
        <w:r w:rsidR="00524B6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 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14.11.2014 № 882н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утрачивает силу.</w:t>
      </w:r>
    </w:p>
    <w:p w14:paraId="727E1976" w14:textId="3ADE4A90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4. Внесены изменения в </w:t>
      </w:r>
      <w:hyperlink r:id="rId25" w:history="1">
        <w:bookmarkStart w:id="2" w:name="_Hlk207191351"/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постановление Правительства Российской Федерации </w:t>
        </w:r>
        <w:bookmarkEnd w:id="2"/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 xml:space="preserve">№ 2334 от 16.12.2021 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«Об утверждении </w:t>
      </w:r>
      <w:hyperlink r:id="rId26" w:anchor="7D60K4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Правил аккредитации организаций, индивидуальных предпринимателей, оказывающих услуги в области охраны труда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и </w:t>
      </w:r>
      <w:hyperlink r:id="rId27" w:anchor="7EC0KH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требований к организациям и индивидуальным предпринимателям, оказывающим услуги в области охраны труда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». Новые поправки, утверждены </w:t>
      </w:r>
      <w:hyperlink r:id="rId28" w:anchor="64S0IJ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постановление Правительства Российской Федерации № 521 от 18.04.2025 года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и направлены на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упрощение процедур и повышение их прозрачности. Теперь заявления на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аккредитацию можно подавать только в электронном виде через Единый портал государственных и муниципальных услуг (ЕПГУ). Для подписания заявлений можно использовать усиленную квалифицированную или неквалифицированную электронную подпись, в зависимости от того, кто подписывает документ – руководитель организации или его представитель. Сроки рассмотрения заявлений сокращены с 25 до 15 рабочих дней. Регистрация заявлений будет происходить в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течение одного рабочего дня после их поступления. Проверка представляемых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сведений и их внесение в реестр будут осуществляться в автоматическом режиме. Некоторые документы, которые ранее требовалось прилагать к заявлению, больше не нужны. Например, теперь не нужно предоставлять устав организации. Все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уведомления о принятых решениях, включая отказы или возобновление аккредитации, будут направляться через Единый портал. Это упростит взаимодействие между заявителями и Министерством труда и социальной защиты Российской Федерации.</w:t>
      </w:r>
    </w:p>
    <w:p w14:paraId="6AA3C1D2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5. </w:t>
      </w:r>
      <w:hyperlink r:id="rId29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Минздрава России от 21.03.2025 № 141н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 новый перечень профессиональных заболеваний работников. Теперь в него включен список злокачественных новообразований, которые могут быть вызваны воздействием химических веществ, физических и биологических факторов.  </w:t>
      </w:r>
    </w:p>
    <w:p w14:paraId="274F7C2B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Кроме того, среди изменений:</w:t>
      </w:r>
    </w:p>
    <w:p w14:paraId="2F5B4029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раздел I дополнен смешанной бронхиальной астмой (J45.8);</w:t>
      </w:r>
    </w:p>
    <w:p w14:paraId="5AB923C2" w14:textId="1CCB0896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раздел IV включили хронический ларингит (J37.0) - при нагрузке на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голосоречевой аппарат более 20 часов в неделю;</w:t>
      </w:r>
    </w:p>
    <w:p w14:paraId="0B9DB288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исключена прогрессирующая близорукость (Н52.1), связанная с повышенным напряжением зрения;</w:t>
      </w:r>
    </w:p>
    <w:p w14:paraId="3BD6B1D8" w14:textId="29518D40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уточнены формулировки, клинические проявления, коды по МКБ и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производственные факторы, которые вызывают заболевания.</w:t>
      </w:r>
    </w:p>
    <w:p w14:paraId="36718C47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Одновременно со вступлением в силу </w:t>
      </w:r>
      <w:hyperlink r:id="rId30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нового перечня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утратившим силу признается </w:t>
      </w:r>
      <w:hyperlink r:id="rId31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Минздравсоцразвития России № 417н от 27.04.2012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3D1F4D58" w14:textId="58204C05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6. </w:t>
      </w:r>
      <w:hyperlink r:id="rId32" w:anchor="64U0IK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Минздрава России от 25.03.2025 № 147н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 утвержден новый </w:t>
      </w:r>
      <w:hyperlink r:id="rId33" w:anchor="6580IP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порядок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проведения экспертизы профессиональной пригодности работников. Новый документ заменит собой </w:t>
      </w:r>
      <w:hyperlink r:id="rId34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Минздрава России от 05.05.2016 № 282н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Согласно документу, экспертиза проводится медицинскими организациями для определения соответствия состояния здоровья работника возможности выполнения им поручаемых видов работ. Решение о пригодности или непригодности к работе принимается врачебной комиссией на</w:t>
      </w:r>
      <w:r w:rsidR="0057796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основании предоставленных документов и обследований. При необходимости срок проведения экспертизы может быть продлен до 30 рабочих дней. Новым приказом расширен перечень документов, которые работник должен представить в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медицинскую организацию для проведения экспертизы профпригодности. Изменения затронули и состав врачебной комиссии. Так, председателем врачебной комиссии может быть руководитель медицинской организации или его заместитель, который имеет высшее образование по специальности «профпатология» и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соответствует требованиям профессионального стандарта «Врач-профпатолог». Также документом утверждена новая форма медицинского заключения о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пригодности или непригодности к выполнению отдельных видов работ.</w:t>
      </w:r>
    </w:p>
    <w:p w14:paraId="74E702BB" w14:textId="67F4C5E2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7. Приказом Минздрава России от 29.04.2025 № 258н утвер</w:t>
      </w:r>
      <w:r w:rsidR="00951CB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жден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новый порядок экспертизы связи заболевания с профессией. Так, если сотруднику поставят предварительный диагноз острого или хронического профзаболевания, медицинская организация должна известить об этом Роспотребнадзор в течение суток, а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работодателя – в течение трех рабочих дней. Документы на экспертизу в центр профпатологии подают: при остром заболевании – в течение недели после того, как получили санитарно-гигиеническую характеристику; хроническом – в течение месяца. Утвер</w:t>
      </w:r>
      <w:r w:rsidR="0031492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ждены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новые формы извещения о предварительном диагнозе, медзаключения и</w:t>
      </w:r>
      <w:r w:rsidR="0057796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протокола заседания комиссии по расследованию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 xml:space="preserve">профзаболевания. Кроме того, изменить или отменить заключительный диагноз смогут не только сотрудник и его представитель, но и сама медорганизация, работодатель или страховщик. </w:t>
      </w:r>
    </w:p>
    <w:p w14:paraId="5D60B100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8. </w:t>
      </w:r>
      <w:hyperlink r:id="rId35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Минздрава России от 11.04.2025 № 196н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утверждены новые формы медицинских заключений, необходимые для расследования несчастных случаев на производстве, а именно:</w:t>
      </w:r>
    </w:p>
    <w:p w14:paraId="61732A95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hyperlink r:id="rId36" w:anchor="65A0IQ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форма № 315-1/у «Медицинское заключение о характере полученных повреждений здоровья в результате несчастного случая на производстве и степени их тяжести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»;</w:t>
      </w:r>
    </w:p>
    <w:p w14:paraId="1A359150" w14:textId="64150644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hyperlink r:id="rId37" w:anchor="7DA0K6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форма № 316-1/у «Медицинское заключение об установлении заключительного диагноза пострадавшего в результате несчастного случая на</w:t>
        </w:r>
        <w:r w:rsidR="00524B6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 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производстве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».</w:t>
      </w:r>
    </w:p>
    <w:p w14:paraId="14147538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Вводятся следующие нововведения:</w:t>
      </w:r>
    </w:p>
    <w:p w14:paraId="6FE19FEF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новые формы заключений теперь можно будет выдавать работодателям - физическим лицам;</w:t>
      </w:r>
    </w:p>
    <w:p w14:paraId="3DC195AD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новые формы добавлена строка с датой выдачи заключения;</w:t>
      </w:r>
    </w:p>
    <w:p w14:paraId="4697DF72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правом подписания заключений теперь наделён только руководитель медицинской организации, а сама подпись может быть электронной;</w:t>
      </w:r>
    </w:p>
    <w:p w14:paraId="4B63EAD6" w14:textId="73676D18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</w:t>
      </w:r>
      <w:hyperlink r:id="rId38" w:anchor="7DA0K6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форме № 316-1/у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вместо указания последствий несчастного случая на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производстве (выздоровление, инвалидность, смертельный исход) теперь будет указываться код заключительного диагноза по МКБ.</w:t>
      </w:r>
    </w:p>
    <w:p w14:paraId="5334E616" w14:textId="360E8DF9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</w:t>
      </w:r>
      <w:hyperlink r:id="rId39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риказ Минздравсоцразвития России от 15.04.2005 № 275</w:t>
        </w:r>
      </w:hyperlink>
      <w:r w:rsidR="00F64F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утрачивает силу.</w:t>
      </w:r>
    </w:p>
    <w:p w14:paraId="5573BACB" w14:textId="2508C999" w:rsidR="006C1DDA" w:rsidRPr="006C1DDA" w:rsidRDefault="006C1DDA" w:rsidP="00577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8. Приказом Минтранса России от 10.12.2024 № 436 утверждены требования к размещению, хранению и использованию аптечки для оказания первой помощи с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применением медицинских изделий на железнодорожном, морском, речном вокзалах, аэровокзалах, автовокзалах, железнодорожных станциях и автостанциях. Из текста приказа следует, что аптечки на вокзалах и станциях следует размещать в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местах массового пребывания людей (зал ожидания, кассовый зал), а места хранения аптечек должны быть обозначены знаком «+». Сами аптечки должны храниться в соответствии с указанными на упаковке требованиями, обеспечивающими их сохранность, защиту от механического воздействия и высоких температур. Аптечки комплектуются в соответствии с приказом Минздрава России от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24.05.2024 № 257н.</w:t>
      </w:r>
    </w:p>
    <w:p w14:paraId="53D1F33C" w14:textId="029A8CF2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9. Приказом Минэкономразвития России от 01.11.2024 № 689 утверждены требования к размещению, хранению и использованию аптечки для оказания первой помощи с применением медицинских изделий инструктором-проводником при прохождении туристских маршрутов, требующих специального сопровождения. Из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приказа следует, что аптечка для оказания первой помощи с применением медицинских изделий инструктором-проводником при прохождении туристских маршрутов должна быть укомплектована в соответствии с требованиями к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комплектации, утвержденными Минздравом.</w:t>
      </w:r>
    </w:p>
    <w:p w14:paraId="386D1772" w14:textId="5D359930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10. Приказом Минздрава России от 08.04.2025 № 172н обнов</w:t>
      </w:r>
      <w:r w:rsidR="00DC693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лен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порядок определения степени тяжести вреда здоровью. В частности, измен</w:t>
      </w:r>
      <w:r w:rsidR="00DC693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ены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медицинские критерии определения степени тяжести вреда здоровью и таблицу процентов стойкой утраты общей трудоспособности в результате различных травм, отравлений ‎и воздействия внешних причин.</w:t>
      </w:r>
    </w:p>
    <w:p w14:paraId="4C29314D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11. </w:t>
      </w:r>
      <w:hyperlink r:id="rId40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Приказом Минздрава России от 09.04.2025 № 173н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обновлена процедура направления водителей транспортных средств на внеочередное обязательное медицинское освидетельствование.</w:t>
      </w:r>
    </w:p>
    <w:p w14:paraId="63553C59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Вводятся следующие нововведения:</w:t>
      </w:r>
    </w:p>
    <w:p w14:paraId="57F91951" w14:textId="7D043C63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внеочередное обязательное медицинское освидетельствование водителей проводится в случае, если во время прохождения периодического медосмотра у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работника нашли признаки заболеваний или состояний, которые являются противопоказаниями к управлению транспортным средством. Такие заболевания или состояния должны быть подтверждены результатами последующего обследования и лечения;</w:t>
      </w:r>
    </w:p>
    <w:p w14:paraId="0A4D235A" w14:textId="7777777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актуализирован порядок приостановления действия и аннулирования медицинского заключения о наличии у водителей медицинских противопоказаний, медицинских показаний или медицинских ограничений к управлению транспортными средствами.</w:t>
      </w:r>
    </w:p>
    <w:p w14:paraId="4C51EEE3" w14:textId="200F3A57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Со вступлением в силу обновленного порядка </w:t>
      </w:r>
      <w:hyperlink r:id="rId41" w:history="1"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приказ Минздрава России от</w:t>
        </w:r>
        <w:r w:rsidR="00D13904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 </w:t>
        </w:r>
        <w:r w:rsidRPr="006C1DDA">
          <w:rPr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15.06.2015 № 342н</w:t>
        </w:r>
      </w:hyperlink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утрачивает силу.</w:t>
      </w:r>
    </w:p>
    <w:p w14:paraId="7E466755" w14:textId="27FC6ADC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12. Постановлением Правительства </w:t>
      </w:r>
      <w:bookmarkStart w:id="3" w:name="_Hlk207205302"/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Российской Федерации </w:t>
      </w:r>
      <w:bookmarkEnd w:id="3"/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 08.05.2025 № 615 обнов</w:t>
      </w:r>
      <w:r w:rsidR="00E45C5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лен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перечень медицинских работников, которым положен ежегодный дополнительный оплачиваемый отпуск за работу с вредными и опасными условиями. Документ распространяется на врачей и медицинский персонал психиатрических учреждений, работников противотуберкулезных диспансеров, медиков, которые работают с ВИЧ-инфицированными, лаборантов и других специалистов, контактирующих с материалами, содержащими ВИЧ. Продолжительность отпусков не изменилась – от 14 до 35 календарных дней в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зависимости от должности и профиля работы. Но изменилось то, что: право на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отпуск теперь распространяется на сотрудников учреждений Минобороны, МВД, ФСИН и ФСБ; если отпуск полагается по нескольким основаниям, работник выбирает одно. </w:t>
      </w:r>
    </w:p>
    <w:p w14:paraId="6DF72528" w14:textId="636455F2" w:rsidR="006C1DDA" w:rsidRPr="006C1DDA" w:rsidRDefault="006C1DDA" w:rsidP="006C1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13. Распоряжением Правительства </w:t>
      </w:r>
      <w:r w:rsidR="00524B6A"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Российской Федерации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 12.04.2025 № 892-р утвер</w:t>
      </w:r>
      <w:r w:rsidR="00E45C5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ждены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новые перечни медицинских противопоказаний и ограничений к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управлению транспортами средствами. В частности, в список добавили «общие расстройства психологического развития», код МКБ-10 F84. В него входят, в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частности, детский аутизм и синдром Аспергера. Кроме этого, как и прежде, в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перечне противопоказаний для управления </w:t>
      </w:r>
      <w:r w:rsidR="004C0FA2" w:rsidRPr="004C0FA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транспортными средствами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эпилепсия, шизофрения и</w:t>
      </w:r>
      <w:r w:rsidR="009A3DC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некоторые психиатрические заболевания, психические расстройства, аномалия цветового спектра.</w:t>
      </w:r>
    </w:p>
    <w:p w14:paraId="02040DFA" w14:textId="6DFA2F25" w:rsidR="009A3DC6" w:rsidRDefault="006C1DDA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14. Распоряжением Правительства </w:t>
      </w:r>
      <w:r w:rsidR="00524B6A"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Российской Федерации 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 09.04.2025 №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858-р утвер</w:t>
      </w:r>
      <w:r w:rsidR="00D41B8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жден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список профессий на железнодорожном транспорте, для которых обязательны предварительные и периодические медосмотры. Изменение касается сотрудников, работа которых связана с движением поездов и маневровыми операциями. В список вошли, в частности, машинисты и их помощники, диспетчеры, дежурные, осмотрщики, проводники, электромеханики </w:t>
      </w:r>
      <w:r w:rsidR="00524B6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всего 93</w:t>
      </w:r>
      <w:r w:rsidR="00D1390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6C1DD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профессии и должности. </w:t>
      </w:r>
    </w:p>
    <w:p w14:paraId="2CC4C2CE" w14:textId="77777777" w:rsidR="00E95B88" w:rsidRDefault="00E95B88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3BD12E9" w14:textId="77777777" w:rsidR="005F47EE" w:rsidRDefault="005F47EE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8A781B0" w14:textId="77777777" w:rsidR="005F47EE" w:rsidRDefault="005F47EE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2B81E8C" w14:textId="77777777" w:rsidR="005F47EE" w:rsidRDefault="005F47EE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348212D" w14:textId="77777777" w:rsidR="005F47EE" w:rsidRDefault="005F47EE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1309107" w14:textId="77777777" w:rsidR="005F47EE" w:rsidRDefault="005F47EE" w:rsidP="00B63A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31184A3" w14:textId="77777777" w:rsidR="006C1DDA" w:rsidRPr="006C1DDA" w:rsidRDefault="006C1DDA" w:rsidP="006C1D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Управление экономики Администрации Северодвинска, </w:t>
      </w:r>
    </w:p>
    <w:p w14:paraId="121A294D" w14:textId="77777777" w:rsidR="006C1DDA" w:rsidRPr="006C1DDA" w:rsidRDefault="006C1DDA" w:rsidP="006C1D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г. Северодвинск, ул. Бойчука, 3, кабинет 309,</w:t>
      </w:r>
    </w:p>
    <w:p w14:paraId="1CD95E41" w14:textId="67696970" w:rsidR="006C1DDA" w:rsidRPr="00F64FD6" w:rsidRDefault="006C1DDA" w:rsidP="00F64F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C1DD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тел./факс 8(8184) 583008, guardwork@adm.severodvinsk.ru</w:t>
      </w:r>
    </w:p>
    <w:sectPr w:rsidR="006C1DDA" w:rsidRPr="00F64FD6" w:rsidSect="00E95B88">
      <w:headerReference w:type="default" r:id="rId42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0906" w14:textId="77777777" w:rsidR="00796F30" w:rsidRDefault="00796F30" w:rsidP="008271B5">
      <w:pPr>
        <w:spacing w:after="0" w:line="240" w:lineRule="auto"/>
      </w:pPr>
      <w:r>
        <w:separator/>
      </w:r>
    </w:p>
  </w:endnote>
  <w:endnote w:type="continuationSeparator" w:id="0">
    <w:p w14:paraId="5F831A02" w14:textId="77777777" w:rsidR="00796F30" w:rsidRDefault="00796F30" w:rsidP="008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A9AC" w14:textId="77777777" w:rsidR="00796F30" w:rsidRDefault="00796F30" w:rsidP="008271B5">
      <w:pPr>
        <w:spacing w:after="0" w:line="240" w:lineRule="auto"/>
      </w:pPr>
      <w:r>
        <w:separator/>
      </w:r>
    </w:p>
  </w:footnote>
  <w:footnote w:type="continuationSeparator" w:id="0">
    <w:p w14:paraId="028FAD53" w14:textId="77777777" w:rsidR="00796F30" w:rsidRDefault="00796F30" w:rsidP="0082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379776"/>
      <w:docPartObj>
        <w:docPartGallery w:val="Page Numbers (Top of Page)"/>
        <w:docPartUnique/>
      </w:docPartObj>
    </w:sdtPr>
    <w:sdtContent>
      <w:p w14:paraId="00ABDC77" w14:textId="07193478" w:rsidR="008271B5" w:rsidRDefault="008271B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98D87" w14:textId="77777777" w:rsidR="008271B5" w:rsidRDefault="008271B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0"/>
    <w:rsid w:val="000D32E2"/>
    <w:rsid w:val="00314920"/>
    <w:rsid w:val="00387E30"/>
    <w:rsid w:val="004C0FA2"/>
    <w:rsid w:val="004C4642"/>
    <w:rsid w:val="00524B6A"/>
    <w:rsid w:val="00536A0D"/>
    <w:rsid w:val="0057796E"/>
    <w:rsid w:val="005F47EE"/>
    <w:rsid w:val="00652F21"/>
    <w:rsid w:val="006C1DDA"/>
    <w:rsid w:val="00796F30"/>
    <w:rsid w:val="007B20EC"/>
    <w:rsid w:val="007C4AB2"/>
    <w:rsid w:val="008018F4"/>
    <w:rsid w:val="008271B5"/>
    <w:rsid w:val="009354C2"/>
    <w:rsid w:val="00942F07"/>
    <w:rsid w:val="00951CBF"/>
    <w:rsid w:val="009A3DC6"/>
    <w:rsid w:val="009A6631"/>
    <w:rsid w:val="009C0329"/>
    <w:rsid w:val="009E134F"/>
    <w:rsid w:val="00B52C4B"/>
    <w:rsid w:val="00B63A09"/>
    <w:rsid w:val="00BB63E0"/>
    <w:rsid w:val="00D13904"/>
    <w:rsid w:val="00D41B8A"/>
    <w:rsid w:val="00DA1832"/>
    <w:rsid w:val="00DC6937"/>
    <w:rsid w:val="00E45C5E"/>
    <w:rsid w:val="00E95B88"/>
    <w:rsid w:val="00EB4AB6"/>
    <w:rsid w:val="00EF4482"/>
    <w:rsid w:val="00F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89E8"/>
  <w15:chartTrackingRefBased/>
  <w15:docId w15:val="{346BB21B-AC10-4EE0-BF0F-9F7B6656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E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E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E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E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E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7E3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71B5"/>
  </w:style>
  <w:style w:type="paragraph" w:styleId="ae">
    <w:name w:val="footer"/>
    <w:basedOn w:val="a"/>
    <w:link w:val="af"/>
    <w:uiPriority w:val="99"/>
    <w:unhideWhenUsed/>
    <w:rsid w:val="008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73990" TargetMode="External"/><Relationship Id="rId13" Type="http://schemas.openxmlformats.org/officeDocument/2006/relationships/hyperlink" Target="https://docs.cntd.ru/document/1312800077" TargetMode="External"/><Relationship Id="rId18" Type="http://schemas.openxmlformats.org/officeDocument/2006/relationships/hyperlink" Target="https://docs.cntd.ru/document/901807664" TargetMode="External"/><Relationship Id="rId26" Type="http://schemas.openxmlformats.org/officeDocument/2006/relationships/hyperlink" Target="https://docs.cntd.ru/document/727638447" TargetMode="External"/><Relationship Id="rId39" Type="http://schemas.openxmlformats.org/officeDocument/2006/relationships/hyperlink" Target="https://docs.cntd.ru/document/9019322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20276951" TargetMode="External"/><Relationship Id="rId34" Type="http://schemas.openxmlformats.org/officeDocument/2006/relationships/hyperlink" Target="https://docs.cntd.ru/document/420356627" TargetMode="External"/><Relationship Id="rId42" Type="http://schemas.openxmlformats.org/officeDocument/2006/relationships/header" Target="header1.xml"/><Relationship Id="rId7" Type="http://schemas.openxmlformats.org/officeDocument/2006/relationships/hyperlink" Target="https://docs.cntd.ru/document/1312736998" TargetMode="External"/><Relationship Id="rId12" Type="http://schemas.openxmlformats.org/officeDocument/2006/relationships/hyperlink" Target="https://docs.cntd.ru/document/1312800078" TargetMode="External"/><Relationship Id="rId17" Type="http://schemas.openxmlformats.org/officeDocument/2006/relationships/hyperlink" Target="https://docs.cntd.ru/document/1312872719" TargetMode="External"/><Relationship Id="rId25" Type="http://schemas.openxmlformats.org/officeDocument/2006/relationships/hyperlink" Target="https://docs.cntd.ru/document/727638447" TargetMode="External"/><Relationship Id="rId33" Type="http://schemas.openxmlformats.org/officeDocument/2006/relationships/hyperlink" Target="https://docs.cntd.ru/document/1312458279" TargetMode="External"/><Relationship Id="rId38" Type="http://schemas.openxmlformats.org/officeDocument/2006/relationships/hyperlink" Target="https://docs.cntd.ru/document/13128316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20261302" TargetMode="External"/><Relationship Id="rId20" Type="http://schemas.openxmlformats.org/officeDocument/2006/relationships/hyperlink" Target="https://docs.cntd.ru/document/1312804374" TargetMode="External"/><Relationship Id="rId29" Type="http://schemas.openxmlformats.org/officeDocument/2006/relationships/hyperlink" Target="https://docs.cntd.ru/document/1312512294" TargetMode="External"/><Relationship Id="rId41" Type="http://schemas.openxmlformats.org/officeDocument/2006/relationships/hyperlink" Target="https://docs.cntd.ru/document/42028479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12800079" TargetMode="External"/><Relationship Id="rId24" Type="http://schemas.openxmlformats.org/officeDocument/2006/relationships/hyperlink" Target="https://docs.cntd.ru/document/420235341" TargetMode="External"/><Relationship Id="rId32" Type="http://schemas.openxmlformats.org/officeDocument/2006/relationships/hyperlink" Target="https://docs.cntd.ru/document/1312458279" TargetMode="External"/><Relationship Id="rId37" Type="http://schemas.openxmlformats.org/officeDocument/2006/relationships/hyperlink" Target="https://docs.cntd.ru/document/1312831600" TargetMode="External"/><Relationship Id="rId40" Type="http://schemas.openxmlformats.org/officeDocument/2006/relationships/hyperlink" Target="https://docs.cntd.ru/document/13128927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420280990" TargetMode="External"/><Relationship Id="rId23" Type="http://schemas.openxmlformats.org/officeDocument/2006/relationships/hyperlink" Target="https://docs.cntd.ru/document/1302055538" TargetMode="External"/><Relationship Id="rId28" Type="http://schemas.openxmlformats.org/officeDocument/2006/relationships/hyperlink" Target="https://docs.cntd.ru/document/1312541000" TargetMode="External"/><Relationship Id="rId36" Type="http://schemas.openxmlformats.org/officeDocument/2006/relationships/hyperlink" Target="https://docs.cntd.ru/document/1312831600" TargetMode="External"/><Relationship Id="rId10" Type="http://schemas.openxmlformats.org/officeDocument/2006/relationships/hyperlink" Target="https://docs.cntd.ru/document/420259492" TargetMode="External"/><Relationship Id="rId19" Type="http://schemas.openxmlformats.org/officeDocument/2006/relationships/hyperlink" Target="https://docs.cntd.ru/document/420240103" TargetMode="External"/><Relationship Id="rId31" Type="http://schemas.openxmlformats.org/officeDocument/2006/relationships/hyperlink" Target="https://docs.cntd.ru/document/90234684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12765493" TargetMode="External"/><Relationship Id="rId14" Type="http://schemas.openxmlformats.org/officeDocument/2006/relationships/hyperlink" Target="https://docs.cntd.ru/document/420252566" TargetMode="External"/><Relationship Id="rId22" Type="http://schemas.openxmlformats.org/officeDocument/2006/relationships/hyperlink" Target="https://docs.cntd.ru/document/1312829708" TargetMode="External"/><Relationship Id="rId27" Type="http://schemas.openxmlformats.org/officeDocument/2006/relationships/hyperlink" Target="https://docs.cntd.ru/document/727638447" TargetMode="External"/><Relationship Id="rId30" Type="http://schemas.openxmlformats.org/officeDocument/2006/relationships/hyperlink" Target="https://docs.cntd.ru/document/1312512294" TargetMode="External"/><Relationship Id="rId35" Type="http://schemas.openxmlformats.org/officeDocument/2006/relationships/hyperlink" Target="https://docs.cntd.ru/document/13128316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216B-446C-4836-BBE2-416CEAD0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Ермошко Ирина Викторовна</dc:creator>
  <cp:keywords/>
  <dc:description/>
  <cp:lastModifiedBy>Ермошко Ирина Викторовна</cp:lastModifiedBy>
  <cp:revision>28</cp:revision>
  <dcterms:created xsi:type="dcterms:W3CDTF">2025-08-27T13:27:00Z</dcterms:created>
  <dcterms:modified xsi:type="dcterms:W3CDTF">2025-09-03T06:52:00Z</dcterms:modified>
</cp:coreProperties>
</file>